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A4B" w:rsidRDefault="00B00A4B">
      <w:pPr>
        <w:pStyle w:val="ConsPlusTitle"/>
        <w:jc w:val="center"/>
      </w:pPr>
      <w:r>
        <w:t>Основание для применения расчетных способов определения объема электрической энергии и мощности:</w:t>
      </w:r>
    </w:p>
    <w:p w:rsidR="00B00A4B" w:rsidRPr="00B00A4B" w:rsidRDefault="00B00A4B" w:rsidP="00B00A4B">
      <w:pPr>
        <w:pStyle w:val="ConsPlusTitle"/>
        <w:ind w:firstLine="709"/>
        <w:jc w:val="both"/>
        <w:rPr>
          <w:b w:val="0"/>
        </w:rPr>
      </w:pPr>
      <w:r w:rsidRPr="00B00A4B">
        <w:rPr>
          <w:b w:val="0"/>
        </w:rPr>
        <w:t>Определение объема потребления (производства) электрической энергии (мощности) на розничных рынках, оказанных услуг по передаче электрической энергии, а также фактических потерь электрической энергии в объектах электросетевого хозяйства осуществляется на основании:</w:t>
      </w:r>
    </w:p>
    <w:p w:rsidR="00B00A4B" w:rsidRPr="00B00A4B" w:rsidRDefault="00B00A4B" w:rsidP="00B00A4B">
      <w:pPr>
        <w:pStyle w:val="ConsPlusTitle"/>
        <w:ind w:firstLine="709"/>
        <w:jc w:val="both"/>
        <w:rPr>
          <w:b w:val="0"/>
        </w:rPr>
      </w:pPr>
      <w:r w:rsidRPr="00B00A4B">
        <w:rPr>
          <w:b w:val="0"/>
        </w:rPr>
        <w:t>показаний приборов учета, в том числе включенных в состав измерительных комплексов, систем учета и приборов учета электрической энергии, присоединенных к интеллектуальным системам учета электрической энергии (мощности), и интеллектуальных систем учета электрической энергии (мощности);</w:t>
      </w:r>
    </w:p>
    <w:p w:rsidR="00B00A4B" w:rsidRPr="00B00A4B" w:rsidRDefault="00B00A4B" w:rsidP="00B00A4B">
      <w:pPr>
        <w:pStyle w:val="ConsPlusTitle"/>
        <w:ind w:firstLine="709"/>
        <w:jc w:val="both"/>
        <w:rPr>
          <w:b w:val="0"/>
        </w:rPr>
      </w:pPr>
      <w:r w:rsidRPr="00B00A4B">
        <w:rPr>
          <w:b w:val="0"/>
        </w:rPr>
        <w:t>отсутствия актуальных показаний или непригодности к расчетам приборов учета, измерительных комплексов - на основании расчетных способов, которые определяются замещающей информацией или иными расчетными способами, предусмотренных настоящим документом и приложением N 3. Замещающей информацией являю</w:t>
      </w:r>
      <w:bookmarkStart w:id="0" w:name="_GoBack"/>
      <w:bookmarkEnd w:id="0"/>
      <w:r w:rsidRPr="00B00A4B">
        <w:rPr>
          <w:b w:val="0"/>
        </w:rPr>
        <w:t>тся 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</w:p>
    <w:p w:rsidR="00B00A4B" w:rsidRDefault="00B00A4B">
      <w:pPr>
        <w:pStyle w:val="ConsPlusTitle"/>
        <w:jc w:val="center"/>
      </w:pPr>
    </w:p>
    <w:p w:rsidR="0087261F" w:rsidRDefault="0087261F">
      <w:pPr>
        <w:pStyle w:val="ConsPlusTitle"/>
        <w:jc w:val="center"/>
      </w:pPr>
      <w:r>
        <w:t>РАСЧЕТНЫЕ СПОСОБЫ</w:t>
      </w:r>
    </w:p>
    <w:p w:rsidR="0087261F" w:rsidRDefault="0087261F">
      <w:pPr>
        <w:pStyle w:val="ConsPlusTitle"/>
        <w:jc w:val="center"/>
      </w:pPr>
      <w:r>
        <w:t>УЧЕТА ЭЛЕКТРИЧЕСКОЙ ЭНЕРГИИ (МОЩНОСТИ) НА РОЗНИЧНЫХ РЫНКАХ</w:t>
      </w:r>
    </w:p>
    <w:p w:rsidR="0087261F" w:rsidRDefault="0087261F">
      <w:pPr>
        <w:pStyle w:val="ConsPlusTitle"/>
        <w:jc w:val="center"/>
      </w:pPr>
      <w:r>
        <w:t>ЭЛЕКТРИЧЕСКОЙ ЭНЕРГИИ</w:t>
      </w:r>
    </w:p>
    <w:p w:rsidR="0087261F" w:rsidRDefault="0087261F">
      <w:pPr>
        <w:pStyle w:val="ConsPlusNormal"/>
        <w:spacing w:after="1"/>
      </w:pPr>
    </w:p>
    <w:p w:rsidR="0087261F" w:rsidRDefault="0087261F">
      <w:pPr>
        <w:pStyle w:val="ConsPlusNormal"/>
        <w:ind w:firstLine="540"/>
        <w:jc w:val="both"/>
        <w:outlineLvl w:val="0"/>
      </w:pPr>
    </w:p>
    <w:p w:rsidR="0087261F" w:rsidRDefault="0087261F">
      <w:pPr>
        <w:pStyle w:val="ConsPlusNormal"/>
        <w:ind w:firstLine="540"/>
        <w:jc w:val="both"/>
      </w:pPr>
      <w:r>
        <w:t xml:space="preserve">1. В случаях, предусмотренных Основными </w:t>
      </w:r>
      <w:hyperlink r:id="rId4">
        <w:r>
          <w:rPr>
            <w:color w:val="0000FF"/>
          </w:rPr>
          <w:t>положениями</w:t>
        </w:r>
      </w:hyperlink>
      <w:r>
        <w:t xml:space="preserve"> функционирования розничных рынков электрической энергии, применяются следующие расчетные способы определения объема потребления электрической энергии (мощности):</w:t>
      </w:r>
    </w:p>
    <w:p w:rsidR="0087261F" w:rsidRDefault="0087261F">
      <w:pPr>
        <w:pStyle w:val="ConsPlusNormal"/>
        <w:jc w:val="both"/>
      </w:pPr>
      <w:r>
        <w:t xml:space="preserve">(в ред.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РФ от 18.04.2020 N 554)</w:t>
      </w:r>
    </w:p>
    <w:p w:rsidR="0087261F" w:rsidRDefault="0087261F">
      <w:pPr>
        <w:pStyle w:val="ConsPlusNormal"/>
        <w:spacing w:before="200"/>
        <w:ind w:firstLine="540"/>
        <w:jc w:val="both"/>
      </w:pPr>
      <w:bookmarkStart w:id="1" w:name="P9"/>
      <w:bookmarkEnd w:id="1"/>
      <w:r>
        <w:t>а) объем потребления электрической энергии (мощности) в соответствующей точке поставки, МВт</w:t>
      </w:r>
      <w:r>
        <w:rPr>
          <w:noProof/>
        </w:rPr>
        <w:drawing>
          <wp:inline distT="0" distB="0" distL="0" distR="0">
            <wp:extent cx="66040" cy="1250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ч, определяется:</w:t>
      </w:r>
    </w:p>
    <w:p w:rsidR="0087261F" w:rsidRDefault="0087261F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23.01.2015 N 47)</w:t>
      </w:r>
    </w:p>
    <w:p w:rsidR="0087261F" w:rsidRDefault="0087261F">
      <w:pPr>
        <w:pStyle w:val="ConsPlusNormal"/>
        <w:spacing w:before="200"/>
        <w:ind w:firstLine="540"/>
        <w:jc w:val="both"/>
      </w:pPr>
      <w:r>
        <w:t xml:space="preserve">если в договоре, обеспечивающем продажу электрической энергии (мощности) на розничном рынке, имеются данные о величине максимальной мощности энергопринимающих устройств в соответствующей точке поставки, за исключением случая, указанного в </w:t>
      </w:r>
      <w:hyperlink w:anchor="P20">
        <w:r>
          <w:rPr>
            <w:color w:val="0000FF"/>
          </w:rPr>
          <w:t>абзаце седьмом</w:t>
        </w:r>
      </w:hyperlink>
      <w:r>
        <w:t xml:space="preserve"> настоящего подпункта, по формуле:</w:t>
      </w:r>
    </w:p>
    <w:p w:rsidR="0087261F" w:rsidRDefault="0087261F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24.05.2017 N 624)</w:t>
      </w:r>
    </w:p>
    <w:p w:rsidR="0087261F" w:rsidRDefault="0087261F">
      <w:pPr>
        <w:pStyle w:val="ConsPlusNormal"/>
        <w:ind w:firstLine="540"/>
        <w:jc w:val="both"/>
      </w:pPr>
    </w:p>
    <w:p w:rsidR="0087261F" w:rsidRDefault="0087261F">
      <w:pPr>
        <w:pStyle w:val="ConsPlusNormal"/>
        <w:jc w:val="center"/>
      </w:pPr>
      <w:r>
        <w:rPr>
          <w:noProof/>
          <w:position w:val="-7"/>
        </w:rPr>
        <w:drawing>
          <wp:inline distT="0" distB="0" distL="0" distR="0">
            <wp:extent cx="697230" cy="2260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87261F" w:rsidRDefault="0087261F">
      <w:pPr>
        <w:pStyle w:val="ConsPlusNormal"/>
        <w:ind w:firstLine="540"/>
        <w:jc w:val="both"/>
      </w:pPr>
    </w:p>
    <w:p w:rsidR="0087261F" w:rsidRDefault="0087261F">
      <w:pPr>
        <w:pStyle w:val="ConsPlusNormal"/>
        <w:ind w:firstLine="540"/>
        <w:jc w:val="both"/>
      </w:pPr>
      <w:r>
        <w:t>где:</w:t>
      </w:r>
    </w:p>
    <w:p w:rsidR="0087261F" w:rsidRDefault="0087261F">
      <w:pPr>
        <w:pStyle w:val="ConsPlusNormal"/>
        <w:spacing w:before="200"/>
        <w:ind w:firstLine="540"/>
        <w:jc w:val="both"/>
      </w:pPr>
      <w:proofErr w:type="spellStart"/>
      <w:r>
        <w:t>P</w:t>
      </w:r>
      <w:r>
        <w:rPr>
          <w:vertAlign w:val="subscript"/>
        </w:rPr>
        <w:t>макс</w:t>
      </w:r>
      <w:proofErr w:type="spellEnd"/>
      <w:r>
        <w:t xml:space="preserve"> - максимальная мощность энергопринимающих устройств, относящаяся к соответствующей точке поставки, а в случае, если в договоре, обеспечивающем продажу электрической энергии (мощности) на розничном рынке, не предусмотрено распределение максимальной мощности по точкам поставки,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(кабеля), МВт;</w:t>
      </w:r>
    </w:p>
    <w:p w:rsidR="0087261F" w:rsidRDefault="0087261F">
      <w:pPr>
        <w:pStyle w:val="ConsPlusNormal"/>
        <w:spacing w:before="200"/>
        <w:ind w:firstLine="540"/>
        <w:jc w:val="both"/>
      </w:pPr>
      <w:r>
        <w:t xml:space="preserve">T - количество часов в расчетном периоде, используемое при расчете </w:t>
      </w:r>
      <w:proofErr w:type="spellStart"/>
      <w:r>
        <w:t>безучетного</w:t>
      </w:r>
      <w:proofErr w:type="spellEnd"/>
      <w:r>
        <w:t xml:space="preserve"> потребления, но не более 4380 часов. При определении объема </w:t>
      </w:r>
      <w:proofErr w:type="spellStart"/>
      <w:r>
        <w:t>безучетного</w:t>
      </w:r>
      <w:proofErr w:type="spellEnd"/>
      <w:r>
        <w:t xml:space="preserve"> потребления количество часов потребления электрической энергии признается равным 24 часам в сутки вне зависимости от фактического режима работы потребителя и (или) количества часов использования им электрической энергии (мощности);</w:t>
      </w:r>
    </w:p>
    <w:p w:rsidR="0087261F" w:rsidRDefault="0087261F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18.04.2020 N 554)</w:t>
      </w:r>
    </w:p>
    <w:p w:rsidR="0087261F" w:rsidRDefault="0087261F">
      <w:pPr>
        <w:pStyle w:val="ConsPlusNormal"/>
        <w:spacing w:before="200"/>
        <w:ind w:firstLine="540"/>
        <w:jc w:val="both"/>
      </w:pPr>
      <w:bookmarkStart w:id="2" w:name="P20"/>
      <w:bookmarkEnd w:id="2"/>
      <w:r>
        <w:t xml:space="preserve">если в договоре, обеспечивающем продажу электрической энергии (мощности) на розничном рынке, отсутствуют данные о величине максимальной мощности энергопринимающих устройств или если при выявлении </w:t>
      </w:r>
      <w:proofErr w:type="spellStart"/>
      <w:r>
        <w:t>безучетного</w:t>
      </w:r>
      <w:proofErr w:type="spellEnd"/>
      <w:r>
        <w:t xml:space="preserve"> потребления было выявлено использование потребителем мощности, величина которой превышает величину максимальной мощности энергопринимающих устройств потребителя, указанную в договоре, обеспечивающем продажу электрической энергии (мощности) на розничном рынке, по формулам:</w:t>
      </w:r>
    </w:p>
    <w:p w:rsidR="0087261F" w:rsidRDefault="0087261F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24.05.2017 N 624)</w:t>
      </w:r>
    </w:p>
    <w:p w:rsidR="0087261F" w:rsidRDefault="0087261F">
      <w:pPr>
        <w:pStyle w:val="ConsPlusNormal"/>
        <w:spacing w:before="200"/>
        <w:ind w:firstLine="540"/>
        <w:jc w:val="both"/>
      </w:pPr>
      <w:r>
        <w:lastRenderedPageBreak/>
        <w:t>для однофазного ввода:</w:t>
      </w:r>
    </w:p>
    <w:p w:rsidR="0087261F" w:rsidRDefault="0087261F">
      <w:pPr>
        <w:pStyle w:val="ConsPlusNormal"/>
        <w:ind w:firstLine="540"/>
        <w:jc w:val="both"/>
      </w:pPr>
    </w:p>
    <w:p w:rsidR="0087261F" w:rsidRDefault="0087261F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688465" cy="4191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87261F" w:rsidRDefault="0087261F">
      <w:pPr>
        <w:pStyle w:val="ConsPlusNormal"/>
        <w:ind w:firstLine="540"/>
        <w:jc w:val="both"/>
      </w:pPr>
    </w:p>
    <w:p w:rsidR="0087261F" w:rsidRDefault="0087261F">
      <w:pPr>
        <w:pStyle w:val="ConsPlusNormal"/>
        <w:ind w:firstLine="540"/>
        <w:jc w:val="both"/>
      </w:pPr>
      <w:r>
        <w:t>для трехфазного ввода:</w:t>
      </w:r>
    </w:p>
    <w:p w:rsidR="0087261F" w:rsidRDefault="0087261F">
      <w:pPr>
        <w:pStyle w:val="ConsPlusNormal"/>
        <w:ind w:firstLine="540"/>
        <w:jc w:val="both"/>
      </w:pPr>
    </w:p>
    <w:p w:rsidR="0087261F" w:rsidRDefault="0087261F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828800" cy="4191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87261F" w:rsidRDefault="0087261F">
      <w:pPr>
        <w:pStyle w:val="ConsPlusNormal"/>
        <w:ind w:firstLine="540"/>
        <w:jc w:val="both"/>
      </w:pPr>
    </w:p>
    <w:p w:rsidR="0087261F" w:rsidRDefault="0087261F">
      <w:pPr>
        <w:pStyle w:val="ConsPlusNormal"/>
        <w:ind w:firstLine="540"/>
        <w:jc w:val="both"/>
      </w:pPr>
      <w:r>
        <w:t>где:</w:t>
      </w:r>
    </w:p>
    <w:p w:rsidR="0087261F" w:rsidRDefault="0087261F">
      <w:pPr>
        <w:pStyle w:val="ConsPlusNormal"/>
        <w:spacing w:before="200"/>
        <w:ind w:firstLine="540"/>
        <w:jc w:val="both"/>
      </w:pPr>
      <w:proofErr w:type="spellStart"/>
      <w:r>
        <w:t>I</w:t>
      </w:r>
      <w:r>
        <w:rPr>
          <w:vertAlign w:val="subscript"/>
        </w:rPr>
        <w:t>доп.дл</w:t>
      </w:r>
      <w:proofErr w:type="spellEnd"/>
      <w:r>
        <w:rPr>
          <w:vertAlign w:val="subscript"/>
        </w:rPr>
        <w:t>.</w:t>
      </w:r>
      <w:r>
        <w:t xml:space="preserve"> - допустимая длительная токовая нагрузка вводного провода (кабеля), А;</w:t>
      </w:r>
    </w:p>
    <w:p w:rsidR="0087261F" w:rsidRDefault="0087261F">
      <w:pPr>
        <w:pStyle w:val="ConsPlusNormal"/>
        <w:spacing w:before="200"/>
        <w:ind w:firstLine="540"/>
        <w:jc w:val="both"/>
      </w:pPr>
      <w:proofErr w:type="spellStart"/>
      <w:r>
        <w:t>U</w:t>
      </w:r>
      <w:proofErr w:type="gramStart"/>
      <w:r>
        <w:rPr>
          <w:vertAlign w:val="subscript"/>
        </w:rPr>
        <w:t>ф.ном</w:t>
      </w:r>
      <w:proofErr w:type="spellEnd"/>
      <w:proofErr w:type="gramEnd"/>
      <w:r>
        <w:rPr>
          <w:vertAlign w:val="subscript"/>
        </w:rPr>
        <w:t>.</w:t>
      </w:r>
      <w:r>
        <w:t xml:space="preserve"> - номинальное фазное напряжение, </w:t>
      </w:r>
      <w:proofErr w:type="spellStart"/>
      <w:r>
        <w:t>кВ</w:t>
      </w:r>
      <w:proofErr w:type="spellEnd"/>
      <w:r>
        <w:t>;</w:t>
      </w:r>
    </w:p>
    <w:p w:rsidR="0087261F" w:rsidRDefault="0087261F">
      <w:pPr>
        <w:pStyle w:val="ConsPlusNormal"/>
        <w:spacing w:before="20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373380" cy="16002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мощности при максимуме нагрузки. При отсутствии данных в договоре коэффициент принимается равным 0,9;</w:t>
      </w:r>
    </w:p>
    <w:p w:rsidR="0087261F" w:rsidRDefault="0087261F">
      <w:pPr>
        <w:pStyle w:val="ConsPlusNormal"/>
        <w:spacing w:before="200"/>
        <w:ind w:firstLine="540"/>
        <w:jc w:val="both"/>
      </w:pPr>
      <w:r>
        <w:t>б) почасовые объемы потребления электрической энергии в соответствующей точке поставки, МВт</w:t>
      </w:r>
      <w:r>
        <w:rPr>
          <w:noProof/>
        </w:rPr>
        <w:drawing>
          <wp:inline distT="0" distB="0" distL="0" distR="0">
            <wp:extent cx="66040" cy="12509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ч, определяются по формуле:</w:t>
      </w:r>
    </w:p>
    <w:p w:rsidR="0087261F" w:rsidRDefault="0087261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23.01.2015 N 47)</w:t>
      </w:r>
    </w:p>
    <w:p w:rsidR="0087261F" w:rsidRDefault="0087261F">
      <w:pPr>
        <w:pStyle w:val="ConsPlusNormal"/>
        <w:ind w:firstLine="540"/>
        <w:jc w:val="both"/>
      </w:pPr>
    </w:p>
    <w:p w:rsidR="0087261F" w:rsidRDefault="0087261F">
      <w:pPr>
        <w:pStyle w:val="ConsPlusNormal"/>
        <w:jc w:val="center"/>
      </w:pPr>
      <w:r>
        <w:rPr>
          <w:noProof/>
          <w:position w:val="-20"/>
        </w:rPr>
        <w:drawing>
          <wp:inline distT="0" distB="0" distL="0" distR="0">
            <wp:extent cx="571500" cy="38989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87261F" w:rsidRDefault="0087261F">
      <w:pPr>
        <w:pStyle w:val="ConsPlusNormal"/>
        <w:ind w:firstLine="540"/>
        <w:jc w:val="both"/>
      </w:pPr>
    </w:p>
    <w:p w:rsidR="0087261F" w:rsidRDefault="0087261F">
      <w:pPr>
        <w:pStyle w:val="ConsPlusNormal"/>
        <w:ind w:firstLine="540"/>
        <w:jc w:val="both"/>
      </w:pPr>
      <w:r>
        <w:t xml:space="preserve">где W - объем потребления электрической энергии в соответствующей точке поставки, определенный в соответствии с </w:t>
      </w:r>
      <w:hyperlink w:anchor="P9">
        <w:r>
          <w:rPr>
            <w:color w:val="0000FF"/>
          </w:rPr>
          <w:t>подпунктом "а"</w:t>
        </w:r>
      </w:hyperlink>
      <w:r>
        <w:t xml:space="preserve"> настоящего пункта, </w:t>
      </w:r>
      <w:proofErr w:type="spellStart"/>
      <w:r>
        <w:t>МВт·ч</w:t>
      </w:r>
      <w:proofErr w:type="spellEnd"/>
      <w:r>
        <w:t>.</w:t>
      </w:r>
    </w:p>
    <w:p w:rsidR="0087261F" w:rsidRDefault="0087261F">
      <w:pPr>
        <w:pStyle w:val="ConsPlusNormal"/>
        <w:spacing w:before="200"/>
        <w:ind w:firstLine="540"/>
        <w:jc w:val="both"/>
      </w:pPr>
      <w:r>
        <w:t>2. Объем бездоговорного потребления электрической энергии, МВт</w:t>
      </w:r>
      <w:r>
        <w:rPr>
          <w:noProof/>
        </w:rPr>
        <w:drawing>
          <wp:inline distT="0" distB="0" distL="0" distR="0">
            <wp:extent cx="66040" cy="12509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ч, определяется исходя из величины допустимой длительной токовой нагрузки каждого вводного провода (кабеля) по формулам:</w:t>
      </w:r>
    </w:p>
    <w:p w:rsidR="0087261F" w:rsidRDefault="0087261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23.01.2015 N 47)</w:t>
      </w:r>
    </w:p>
    <w:p w:rsidR="0087261F" w:rsidRDefault="0087261F">
      <w:pPr>
        <w:pStyle w:val="ConsPlusNormal"/>
        <w:spacing w:before="200"/>
        <w:ind w:firstLine="540"/>
        <w:jc w:val="both"/>
      </w:pPr>
      <w:r>
        <w:t>для однофазного ввода:</w:t>
      </w:r>
    </w:p>
    <w:p w:rsidR="0087261F" w:rsidRDefault="0087261F">
      <w:pPr>
        <w:pStyle w:val="ConsPlusNormal"/>
        <w:ind w:firstLine="540"/>
        <w:jc w:val="both"/>
      </w:pPr>
    </w:p>
    <w:p w:rsidR="0087261F" w:rsidRDefault="0087261F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790700" cy="41910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87261F" w:rsidRDefault="0087261F">
      <w:pPr>
        <w:pStyle w:val="ConsPlusNormal"/>
        <w:ind w:firstLine="540"/>
        <w:jc w:val="both"/>
      </w:pPr>
    </w:p>
    <w:p w:rsidR="0087261F" w:rsidRDefault="0087261F">
      <w:pPr>
        <w:pStyle w:val="ConsPlusNormal"/>
        <w:ind w:firstLine="540"/>
        <w:jc w:val="both"/>
      </w:pPr>
      <w:r>
        <w:t>для трехфазного ввода:</w:t>
      </w:r>
    </w:p>
    <w:p w:rsidR="0087261F" w:rsidRDefault="0087261F">
      <w:pPr>
        <w:pStyle w:val="ConsPlusNormal"/>
        <w:ind w:firstLine="540"/>
        <w:jc w:val="both"/>
      </w:pPr>
    </w:p>
    <w:p w:rsidR="0087261F" w:rsidRDefault="0087261F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943100" cy="41910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87261F" w:rsidRDefault="0087261F">
      <w:pPr>
        <w:pStyle w:val="ConsPlusNormal"/>
        <w:ind w:firstLine="540"/>
        <w:jc w:val="both"/>
      </w:pPr>
    </w:p>
    <w:p w:rsidR="0087261F" w:rsidRDefault="0087261F">
      <w:pPr>
        <w:pStyle w:val="ConsPlusNormal"/>
        <w:ind w:firstLine="540"/>
        <w:jc w:val="both"/>
      </w:pPr>
      <w:r>
        <w:t xml:space="preserve">где </w:t>
      </w:r>
      <w:proofErr w:type="spellStart"/>
      <w:r>
        <w:t>T</w:t>
      </w:r>
      <w:r>
        <w:rPr>
          <w:vertAlign w:val="superscript"/>
        </w:rPr>
        <w:t>бд</w:t>
      </w:r>
      <w:proofErr w:type="spellEnd"/>
      <w:r>
        <w:t xml:space="preserve"> - количество часов в определенном в соответствии с </w:t>
      </w:r>
      <w:hyperlink r:id="rId20">
        <w:r>
          <w:rPr>
            <w:color w:val="0000FF"/>
          </w:rPr>
          <w:t>пунктом 189</w:t>
        </w:r>
      </w:hyperlink>
      <w:r>
        <w:t xml:space="preserve"> Основных положений функционирования розничных рынков электрической энергии периоде времени, в течение которого осуществлялось бездоговорное потребление, но не более чем 8760 часов, ч.</w:t>
      </w:r>
    </w:p>
    <w:p w:rsidR="0087261F" w:rsidRDefault="00B00A4B">
      <w:pPr>
        <w:pStyle w:val="ConsPlusNormal"/>
      </w:pPr>
      <w:hyperlink r:id="rId21">
        <w:r w:rsidR="0087261F">
          <w:rPr>
            <w:i/>
            <w:color w:val="0000FF"/>
          </w:rPr>
          <w:br/>
          <w:t>Постановление Правительства РФ от 04.05.2012 N 442 (ред. от 30.12.2022)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 {КонсультантПлюс}</w:t>
        </w:r>
      </w:hyperlink>
      <w:r w:rsidR="0087261F">
        <w:br/>
      </w:r>
    </w:p>
    <w:p w:rsidR="00FD6C1C" w:rsidRDefault="00FD6C1C"/>
    <w:sectPr w:rsidR="00FD6C1C" w:rsidSect="0050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1F"/>
    <w:rsid w:val="0087261F"/>
    <w:rsid w:val="00B00A4B"/>
    <w:rsid w:val="00FD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E4152E"/>
  <w15:chartTrackingRefBased/>
  <w15:docId w15:val="{DAF845B8-8108-4B89-83F1-1A6F8EB2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6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726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E1C2B2D3E2DE47F5D4ECAD8732E7DD4313A9AD07D31AF7DB8B9D0442241694E3468BA3DF60EFAA6238B61F9D3F0B259A6FB8603C810A9y4R1H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98E1C2B2D3E2DE47F5D4ECAD8732E7DD233359ED77831AF7DB8B9D0442241694E3468BA3DF70DF1A0238B61F9D3F0B259A6FB8603C810A9y4R1H" TargetMode="External"/><Relationship Id="rId7" Type="http://schemas.openxmlformats.org/officeDocument/2006/relationships/hyperlink" Target="consultantplus://offline/ref=098E1C2B2D3E2DE47F5D4ECAD8732E7DD5363C9CD87D31AF7DB8B9D0442241694E3468BA3DF60DFAA5238B61F9D3F0B259A6FB8603C810A9y4R1H" TargetMode="External"/><Relationship Id="rId12" Type="http://schemas.openxmlformats.org/officeDocument/2006/relationships/image" Target="media/image3.wmf"/><Relationship Id="rId17" Type="http://schemas.openxmlformats.org/officeDocument/2006/relationships/hyperlink" Target="consultantplus://offline/ref=098E1C2B2D3E2DE47F5D4ECAD8732E7DD5363C9CD87D31AF7DB8B9D0442241694E3468BA3DF60DFAA7238B61F9D3F0B259A6FB8603C810A9y4R1H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yperlink" Target="consultantplus://offline/ref=098E1C2B2D3E2DE47F5D4ECAD8732E7DD233359ED77831AF7DB8B9D0442241694E3468B93CF40BF2F1799B65B084FDAE59BAE5861DC8y1R3H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098E1C2B2D3E2DE47F5D4ECAD8732E7DD4313A9AD07D31AF7DB8B9D0442241694E3468BA3DF60EFAA1238B61F9D3F0B259A6FB8603C810A9y4R1H" TargetMode="External"/><Relationship Id="rId5" Type="http://schemas.openxmlformats.org/officeDocument/2006/relationships/hyperlink" Target="consultantplus://offline/ref=098E1C2B2D3E2DE47F5D4ECAD8732E7DD5353C9FD37B31AF7DB8B9D0442241694E3468BA3DF60BFAA1238B61F9D3F0B259A6FB8603C810A9y4R1H" TargetMode="External"/><Relationship Id="rId15" Type="http://schemas.openxmlformats.org/officeDocument/2006/relationships/hyperlink" Target="consultantplus://offline/ref=098E1C2B2D3E2DE47F5D4ECAD8732E7DD5363C9CD87D31AF7DB8B9D0442241694E3468BA3DF60DFAA4238B61F9D3F0B259A6FB8603C810A9y4R1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98E1C2B2D3E2DE47F5D4ECAD8732E7DD5353C9FD37B31AF7DB8B9D0442241694E3468BA3DF60BFAA0238B61F9D3F0B259A6FB8603C810A9y4R1H" TargetMode="External"/><Relationship Id="rId19" Type="http://schemas.openxmlformats.org/officeDocument/2006/relationships/image" Target="media/image8.wmf"/><Relationship Id="rId4" Type="http://schemas.openxmlformats.org/officeDocument/2006/relationships/hyperlink" Target="consultantplus://offline/ref=098E1C2B2D3E2DE47F5D4ECAD8732E7DD233359ED77831AF7DB8B9D0442241694E3468BA3DF60FFFA4238B61F9D3F0B259A6FB8603C810A9y4R1H" TargetMode="Externa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2023-02-20T07:17:00Z</dcterms:created>
  <dcterms:modified xsi:type="dcterms:W3CDTF">2023-02-20T08:01:00Z</dcterms:modified>
</cp:coreProperties>
</file>